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10368"/>
      </w:tblGrid>
      <w:tr>
        <w:tc>
          <w:tcPr>
            <w:tcW w:type="dxa" w:w="10368"/>
            <w:shd w:fill="071A2C"/>
            <w:tcBorders>
              <w:top w:sz="10" w:val="single" w:color="C79C3A"/>
              <w:left w:sz="10" w:val="single" w:color="C79C3A"/>
              <w:bottom w:sz="10" w:val="single" w:color="C79C3A"/>
              <w:right w:sz="10" w:val="single" w:color="C79C3A"/>
            </w:tcBorders>
          </w:tcPr>
          <w:p/>
          <w:p/>
          <w:p/>
          <w:p>
            <w:pPr>
              <w:jc w:val="center"/>
            </w:pPr>
            <w:r>
              <w:drawing>
                <wp:inline xmlns:a="http://schemas.openxmlformats.org/drawingml/2006/main" xmlns:pic="http://schemas.openxmlformats.org/drawingml/2006/picture">
                  <wp:extent cx="1188720" cy="1189301"/>
                  <wp:docPr id="1" name="Picture 1"/>
                  <wp:cNvGraphicFramePr>
                    <a:graphicFrameLocks noChangeAspect="1"/>
                  </wp:cNvGraphicFramePr>
                  <a:graphic>
                    <a:graphicData uri="http://schemas.openxmlformats.org/drawingml/2006/picture">
                      <pic:pic>
                        <pic:nvPicPr>
                          <pic:cNvPr id="0" name="Logo ReNaSer2-min.jpg"/>
                          <pic:cNvPicPr/>
                        </pic:nvPicPr>
                        <pic:blipFill>
                          <a:blip r:embed="rId11"/>
                          <a:stretch>
                            <a:fillRect/>
                          </a:stretch>
                        </pic:blipFill>
                        <pic:spPr>
                          <a:xfrm>
                            <a:off x="0" y="0"/>
                            <a:ext cx="1188720" cy="1189301"/>
                          </a:xfrm>
                          <a:prstGeom prst="rect"/>
                        </pic:spPr>
                      </pic:pic>
                    </a:graphicData>
                  </a:graphic>
                </wp:inline>
              </w:drawing>
            </w:r>
          </w:p>
          <w:p>
            <w:pPr>
              <w:jc w:val="center"/>
            </w:pPr>
            <w:r>
              <w:rPr>
                <w:rFonts w:ascii="Aptos Display" w:hAnsi="Aptos Display"/>
                <w:b/>
                <w:color w:val="FFFFFF"/>
                <w:sz w:val="48"/>
              </w:rPr>
              <w:t>ACUERDO DE ADHESIÓN</w:t>
            </w:r>
          </w:p>
          <w:p>
            <w:pPr>
              <w:jc w:val="center"/>
            </w:pPr>
            <w:r>
              <w:rPr>
                <w:rFonts w:ascii="Aptos Display" w:hAnsi="Aptos Display"/>
                <w:b/>
                <w:color w:val="C79C3A"/>
                <w:sz w:val="40"/>
              </w:rPr>
              <w:t>AL SISTEMA LUMEN REWARDS</w:t>
            </w:r>
          </w:p>
          <w:p>
            <w:pPr>
              <w:jc w:val="center"/>
            </w:pPr>
            <w:r>
              <w:rPr>
                <w:rFonts w:ascii="Aptos Display" w:hAnsi="Aptos Display"/>
                <w:b/>
                <w:color w:val="FFFFFF"/>
                <w:sz w:val="22"/>
              </w:rPr>
              <w:t>Sistema interno de recompensas, beneficios y economía colaborativa</w:t>
            </w:r>
          </w:p>
          <w:p>
            <w:pPr>
              <w:jc w:val="center"/>
            </w:pPr>
            <w:r>
              <w:rPr>
                <w:rFonts w:ascii="Aptos Display" w:hAnsi="Aptos Display"/>
                <w:b/>
                <w:color w:val="C79C3A"/>
                <w:sz w:val="24"/>
              </w:rPr>
              <w:t>ReNaSer Perú &amp; OMTAC Internacional</w:t>
            </w:r>
          </w:p>
          <w:p/>
          <w:p/>
          <w:tbl>
            <w:tblPr>
              <w:tblW w:type="auto" w:w="0"/>
              <w:tblLook w:firstColumn="1" w:firstRow="1" w:lastColumn="0" w:lastRow="0" w:noHBand="0" w:noVBand="1" w:val="04A0"/>
            </w:tblPr>
            <w:tblGrid>
              <w:gridCol w:w="5184"/>
              <w:gridCol w:w="5184"/>
            </w:tblGrid>
            <w:tr>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b/>
                      <w:color w:val="FFFFFF"/>
                      <w:sz w:val="18"/>
                    </w:rPr>
                    <w:t>Código LUMEN:</w:t>
                  </w:r>
                </w:p>
              </w:tc>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color w:val="FFFFFF"/>
                      <w:sz w:val="18"/>
                    </w:rPr>
                    <w:t>LUM-__________</w:t>
                  </w:r>
                </w:p>
              </w:tc>
            </w:tr>
            <w:tr>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b/>
                      <w:color w:val="FFFFFF"/>
                      <w:sz w:val="18"/>
                    </w:rPr>
                    <w:t>N° de solicitud:</w:t>
                  </w:r>
                </w:p>
              </w:tc>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color w:val="FFFFFF"/>
                      <w:sz w:val="18"/>
                    </w:rPr>
                    <w:t>__________</w:t>
                  </w:r>
                </w:p>
              </w:tc>
            </w:tr>
            <w:tr>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b/>
                      <w:color w:val="FFFFFF"/>
                      <w:sz w:val="18"/>
                    </w:rPr>
                    <w:t>Fecha de activación:</w:t>
                  </w:r>
                </w:p>
              </w:tc>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color w:val="FFFFFF"/>
                      <w:sz w:val="18"/>
                    </w:rPr>
                    <w:t>____ / ____ / ______</w:t>
                  </w:r>
                </w:p>
              </w:tc>
            </w:tr>
            <w:tr>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b/>
                      <w:color w:val="FFFFFF"/>
                      <w:sz w:val="18"/>
                    </w:rPr>
                    <w:t>Capital inicial simbólico:</w:t>
                  </w:r>
                </w:p>
              </w:tc>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color w:val="FFFFFF"/>
                      <w:sz w:val="18"/>
                    </w:rPr>
                    <w:t>__________ LUMENS</w:t>
                  </w:r>
                </w:p>
              </w:tc>
            </w:tr>
            <w:tr>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b/>
                      <w:color w:val="FFFFFF"/>
                      <w:sz w:val="18"/>
                    </w:rPr>
                    <w:t>Tipo de miembro:</w:t>
                  </w:r>
                </w:p>
              </w:tc>
              <w:tc>
                <w:tcPr>
                  <w:tcW w:type="dxa" w:w="5184"/>
                  <w:tcBorders>
                    <w:top w:sz="4" w:val="single" w:color="C79C3A"/>
                    <w:left w:sz="4" w:val="single" w:color="C79C3A"/>
                    <w:bottom w:sz="4" w:val="single" w:color="C79C3A"/>
                    <w:right w:sz="4" w:val="single" w:color="C79C3A"/>
                  </w:tcBorders>
                  <w:vAlign w:val="center"/>
                  <w:shd w:fill="101F32"/>
                </w:tcPr>
                <w:p>
                  <w:r>
                    <w:rPr>
                      <w:rFonts w:ascii="Aptos" w:hAnsi="Aptos"/>
                      <w:color w:val="FFFFFF"/>
                      <w:sz w:val="18"/>
                    </w:rPr>
                    <w:t>[ ] Regular   [ ] Fundador   [ ] Embajador   [ ] OMTAC</w:t>
                  </w:r>
                </w:p>
              </w:tc>
            </w:tr>
          </w:tbl>
          <w:p/>
          <w:p/>
          <w:p/>
          <w:p>
            <w:pPr>
              <w:jc w:val="center"/>
            </w:pPr>
            <w:r>
              <w:rPr>
                <w:rFonts w:ascii="Aptos" w:hAnsi="Aptos"/>
                <w:color w:val="FFFFFF"/>
                <w:sz w:val="18"/>
              </w:rPr>
              <w:t>Documento de aceptación de condiciones para miembros del Círculo Cuántico ReNaSer</w:t>
            </w:r>
          </w:p>
        </w:tc>
      </w:tr>
    </w:tbl>
    <w:p>
      <w:r>
        <w:br w:type="page"/>
      </w:r>
    </w:p>
    <w:p>
      <w:pPr>
        <w:jc w:val="center"/>
      </w:pPr>
      <w:r>
        <w:rPr>
          <w:rFonts w:ascii="Aptos Display" w:hAnsi="Aptos Display"/>
          <w:b/>
          <w:color w:val="071A2C"/>
          <w:sz w:val="32"/>
        </w:rPr>
        <w:t>ACUERDO DE ADHESIÓN AL SISTEMA LUMEN REWARDS</w:t>
      </w:r>
    </w:p>
    <w:p>
      <w:pPr>
        <w:jc w:val="center"/>
      </w:pPr>
      <w:r>
        <w:rPr>
          <w:rFonts w:ascii="Aptos Display" w:hAnsi="Aptos Display"/>
          <w:b/>
          <w:color w:val="232323"/>
          <w:sz w:val="21"/>
        </w:rPr>
        <w:t>Sistema interno de recompensas y beneficios del ecosistema ReNaSer &amp; OMTAC</w:t>
      </w:r>
    </w:p>
    <w:p>
      <w:pPr>
        <w:pStyle w:val="Heading1"/>
      </w:pPr>
      <w:r>
        <w:t>1. Datos del miembro solicitante</w:t>
      </w:r>
    </w:p>
    <w:tbl>
      <w:tblPr>
        <w:tblW w:type="auto" w:w="0"/>
        <w:jc w:val="center"/>
        <w:tblLook w:firstColumn="1" w:firstRow="1" w:lastColumn="0" w:lastRow="0" w:noHBand="0" w:noVBand="1" w:val="04A0"/>
      </w:tblPr>
      <w:tblGrid>
        <w:gridCol w:w="5184"/>
        <w:gridCol w:w="5184"/>
      </w:tblGrid>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Nombres y apellidos</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DNI / Documento de identidad</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WhatsApp</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Correo electrónico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Ciudad / País</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Fecha de ingreso al Círculo Cuántico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Código LUMEN asignado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Tipo de miembro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 ] Regular   [ ] Fundador   [ ] Embajador   [ ] OMTAC</w:t>
            </w:r>
          </w:p>
        </w:tc>
      </w:tr>
    </w:tbl>
    <w:p/>
    <w:p>
      <w:pPr>
        <w:pStyle w:val="Heading1"/>
      </w:pPr>
      <w:r>
        <w:t>2. Declaración inicial</w:t>
      </w:r>
    </w:p>
    <w:p>
      <w:pPr>
        <w:spacing w:after="120"/>
      </w:pPr>
      <w:r>
        <w:rPr>
          <w:rFonts w:ascii="Aptos" w:hAnsi="Aptos"/>
          <w:color w:val="232323"/>
          <w:sz w:val="21"/>
        </w:rPr>
        <w:t>Por medio del presente documento, el miembro solicita y acepta su adhesión al sistema LUMEN Rewards, administrado por ReNaSer Perú y OMTAC Internacional, en adelante "ReNaSer &amp; OMTAC".</w:t>
      </w:r>
    </w:p>
    <w:p>
      <w:pPr>
        <w:spacing w:after="120"/>
      </w:pPr>
      <w:r>
        <w:rPr>
          <w:rFonts w:ascii="Aptos" w:hAnsi="Aptos"/>
          <w:color w:val="232323"/>
          <w:sz w:val="21"/>
        </w:rPr>
        <w:t>El miembro declara conocer que LUMEN Rewards es un sistema privado, interno, promocional y no financiero, destinado a otorgar recompensas, beneficios y créditos digitales de canje dentro del ecosistema ReNaSer &amp; OMTAC.</w:t>
      </w:r>
    </w:p>
    <w:p>
      <w:pPr>
        <w:pStyle w:val="Heading1"/>
      </w:pPr>
      <w:r>
        <w:t>3. Naturaleza de LUMEN Rewards</w:t>
      </w:r>
    </w:p>
    <w:p>
      <w:pPr>
        <w:spacing w:after="120"/>
      </w:pPr>
      <w:r>
        <w:rPr>
          <w:rFonts w:ascii="Aptos" w:hAnsi="Aptos"/>
          <w:color w:val="232323"/>
          <w:sz w:val="21"/>
        </w:rPr>
        <w:t>LUMEN Rewards es un sistema interno de recompensas, beneficios y economía colaborativa creado para reconocer la participación, formación, fidelidad, referidos y contribución de los miembros del Círculo Cuántico ReNaSer, ReNaSer Perú y OMTAC Internacional.</w:t>
      </w:r>
    </w:p>
    <w:p>
      <w:pPr>
        <w:spacing w:after="120"/>
      </w:pPr>
      <w:r>
        <w:rPr>
          <w:rFonts w:ascii="Aptos" w:hAnsi="Aptos"/>
          <w:color w:val="232323"/>
          <w:sz w:val="21"/>
        </w:rPr>
        <w:t>Los LUMENS son unidades digitales internas de beneficio. Su función es permitir canjes, descuentos, accesos promocionales y beneficios autorizados dentro del ecosistema ReNaSer &amp; OMTAC.</w:t>
      </w:r>
    </w:p>
    <w:p>
      <w:pPr>
        <w:spacing w:after="120"/>
      </w:pPr>
      <w:r>
        <w:rPr>
          <w:rFonts w:ascii="Aptos" w:hAnsi="Aptos"/>
          <w:color w:val="232323"/>
          <w:sz w:val="21"/>
        </w:rPr>
        <w:t>Los LUMENS no constituyen dinero en efectivo, depósito, ahorro, cuenta bancaria, crédito financiero, dinero electrónico regulado, inversión, valor mobiliario, criptomoneda pública ni promesa de rentabilidad.</w:t>
      </w:r>
    </w:p>
    <w:p>
      <w:pPr>
        <w:pStyle w:val="Heading1"/>
      </w:pPr>
      <w:r>
        <w:t>4. Cuenta interna LUMEN</w:t>
      </w:r>
    </w:p>
    <w:p>
      <w:pPr>
        <w:spacing w:after="120"/>
      </w:pPr>
      <w:r>
        <w:rPr>
          <w:rFonts w:ascii="Aptos" w:hAnsi="Aptos"/>
          <w:color w:val="232323"/>
          <w:sz w:val="21"/>
        </w:rPr>
        <w:t>Para fines de control administrativo, cada miembro podrá tener una cuenta interna LUMEN identificada mediante un código único. Esta cuenta interna no es una cuenta bancaria ni una billetera financiera regulada. Es únicamente un registro privado de beneficios acumulados, utilizados y disponibles dentro de ReNaSer &amp; OMTAC.</w:t>
      </w:r>
    </w:p>
    <w:tbl>
      <w:tblPr>
        <w:tblW w:type="auto" w:w="0"/>
        <w:jc w:val="center"/>
        <w:tblLook w:firstColumn="1" w:firstRow="1" w:lastColumn="0" w:lastRow="0" w:noHBand="0" w:noVBand="1" w:val="04A0"/>
      </w:tblPr>
      <w:tblGrid>
        <w:gridCol w:w="5184"/>
        <w:gridCol w:w="5184"/>
      </w:tblGrid>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Nombre de la cuenta interna</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Cuenta LUMEN Rewards</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Código del miembro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LUM-__________</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Administrador del sistema</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ReNaSer Perú &amp; OMTAC Internacional</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Uso autorizado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Canjes, descuentos y beneficios internos</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Conversión a efectivo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No permitido</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Transferencia bancaria</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No permitido</w:t>
            </w:r>
          </w:p>
        </w:tc>
      </w:tr>
    </w:tbl>
    <w:p/>
    <w:p>
      <w:pPr>
        <w:pStyle w:val="Heading1"/>
      </w:pPr>
      <w:r>
        <w:t>5. Capital inicial simbólico en LUMENS</w:t>
      </w:r>
    </w:p>
    <w:p>
      <w:pPr>
        <w:spacing w:after="120"/>
      </w:pPr>
      <w:r>
        <w:rPr>
          <w:rFonts w:ascii="Aptos" w:hAnsi="Aptos"/>
          <w:color w:val="232323"/>
          <w:sz w:val="21"/>
        </w:rPr>
        <w:t>Como beneficio de bienvenida, cada miembro activo del Círculo Cuántico ReNaSer podrá recibir un capital inicial simbólico en LUMENS, determinado por ReNaSer &amp; OMTAC según la campaña vigente, tipo de miembro y condiciones de activación.</w:t>
      </w:r>
    </w:p>
    <w:p>
      <w:pPr>
        <w:spacing w:after="120"/>
      </w:pPr>
      <w:r>
        <w:rPr>
          <w:rFonts w:ascii="Aptos" w:hAnsi="Aptos"/>
          <w:color w:val="232323"/>
          <w:sz w:val="21"/>
        </w:rPr>
        <w:t>El término "capital inicial simbólico" se utiliza únicamente como referencia interna y comercial para facilitar la comprensión del sistema. No representa capital financiero, depósito monetario, préstamo, ahorro, inversión ni dinero de libre disposición.</w:t>
      </w:r>
    </w:p>
    <w:p>
      <w:pPr>
        <w:spacing w:after="120"/>
      </w:pPr>
      <w:r>
        <w:rPr>
          <w:rFonts w:ascii="Aptos" w:hAnsi="Aptos"/>
          <w:color w:val="232323"/>
          <w:sz w:val="21"/>
        </w:rPr>
        <w:t>El capital inicial simbólico solo podrá utilizarse para canjes y beneficios autorizados dentro del ecosistema ReNaSer &amp; OMTAC.</w:t>
      </w:r>
    </w:p>
    <w:tbl>
      <w:tblPr>
        <w:tblW w:type="auto" w:w="0"/>
        <w:jc w:val="center"/>
        <w:tblLook w:firstColumn="1" w:firstRow="1" w:lastColumn="0" w:lastRow="0" w:noHBand="0" w:noVBand="1" w:val="04A0"/>
      </w:tblPr>
      <w:tblGrid>
        <w:gridCol w:w="2592"/>
        <w:gridCol w:w="2592"/>
        <w:gridCol w:w="2592"/>
        <w:gridCol w:w="2592"/>
      </w:tblGrid>
      <w:tr>
        <w:tc>
          <w:tcPr>
            <w:tcW w:type="dxa" w:w="2592"/>
            <w:shd w:fill="C79C3A"/>
            <w:tcBorders>
              <w:top w:sz="4" w:val="single" w:color="C8C8C8"/>
              <w:left w:sz="4" w:val="single" w:color="C8C8C8"/>
              <w:bottom w:sz="4" w:val="single" w:color="C8C8C8"/>
              <w:right w:sz="4" w:val="single" w:color="C8C8C8"/>
            </w:tcBorders>
            <w:vAlign w:val="center"/>
          </w:tcPr>
          <w:p>
            <w:r>
              <w:rPr>
                <w:rFonts w:ascii="Aptos" w:hAnsi="Aptos"/>
                <w:b/>
                <w:color w:val="FFFFFF"/>
                <w:sz w:val="17"/>
              </w:rPr>
              <w:t>Tipo de miembro</w:t>
            </w:r>
          </w:p>
        </w:tc>
        <w:tc>
          <w:tcPr>
            <w:tcW w:type="dxa" w:w="2592"/>
            <w:shd w:fill="C79C3A"/>
            <w:tcBorders>
              <w:top w:sz="4" w:val="single" w:color="C8C8C8"/>
              <w:left w:sz="4" w:val="single" w:color="C8C8C8"/>
              <w:bottom w:sz="4" w:val="single" w:color="C8C8C8"/>
              <w:right w:sz="4" w:val="single" w:color="C8C8C8"/>
            </w:tcBorders>
            <w:vAlign w:val="center"/>
          </w:tcPr>
          <w:p>
            <w:r>
              <w:rPr>
                <w:rFonts w:ascii="Aptos" w:hAnsi="Aptos"/>
                <w:b/>
                <w:color w:val="FFFFFF"/>
                <w:sz w:val="17"/>
              </w:rPr>
              <w:t>Capital inicial sugerido</w:t>
            </w:r>
          </w:p>
        </w:tc>
        <w:tc>
          <w:tcPr>
            <w:tcW w:type="dxa" w:w="2592"/>
            <w:shd w:fill="C79C3A"/>
            <w:tcBorders>
              <w:top w:sz="4" w:val="single" w:color="C8C8C8"/>
              <w:left w:sz="4" w:val="single" w:color="C8C8C8"/>
              <w:bottom w:sz="4" w:val="single" w:color="C8C8C8"/>
              <w:right w:sz="4" w:val="single" w:color="C8C8C8"/>
            </w:tcBorders>
            <w:vAlign w:val="center"/>
          </w:tcPr>
          <w:p>
            <w:r>
              <w:rPr>
                <w:rFonts w:ascii="Aptos" w:hAnsi="Aptos"/>
                <w:b/>
                <w:color w:val="FFFFFF"/>
                <w:sz w:val="17"/>
              </w:rPr>
              <w:t>Condición</w:t>
            </w:r>
          </w:p>
        </w:tc>
        <w:tc>
          <w:tcPr>
            <w:tcW w:type="dxa" w:w="2592"/>
            <w:shd w:fill="C79C3A"/>
            <w:tcBorders>
              <w:top w:sz="4" w:val="single" w:color="C8C8C8"/>
              <w:left w:sz="4" w:val="single" w:color="C8C8C8"/>
              <w:bottom w:sz="4" w:val="single" w:color="C8C8C8"/>
              <w:right w:sz="4" w:val="single" w:color="C8C8C8"/>
            </w:tcBorders>
            <w:vAlign w:val="center"/>
          </w:tcPr>
          <w:p>
            <w:r>
              <w:rPr>
                <w:rFonts w:ascii="Aptos" w:hAnsi="Aptos"/>
                <w:b/>
                <w:color w:val="FFFFFF"/>
                <w:sz w:val="17"/>
              </w:rPr>
              <w:t>Observación</w:t>
            </w:r>
          </w:p>
        </w:tc>
      </w:tr>
      <w:tr>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Miembro regular</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100 LUMENS</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Ingreso validado</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Asignación básica de bienvenida</w:t>
            </w:r>
          </w:p>
        </w:tc>
      </w:tr>
      <w:tr>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Miembro fundador</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300 LUMENS</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Dentro de los primeros 100</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Beneficio especial inicial</w:t>
            </w:r>
          </w:p>
        </w:tc>
      </w:tr>
      <w:tr>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Fundador activo</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500 LUMENS</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Actividad mensual validada</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Puede variar por campaña</w:t>
            </w:r>
          </w:p>
        </w:tc>
      </w:tr>
      <w:tr>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Embajador fundador</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1,000 LUMENS</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Referidos o ventas validadas</w:t>
            </w:r>
          </w:p>
        </w:tc>
        <w:tc>
          <w:tcPr>
            <w:tcW w:type="dxa" w:w="2592"/>
            <w:tcBorders>
              <w:top w:sz="4" w:val="single" w:color="C8C8C8"/>
              <w:left w:sz="4" w:val="single" w:color="C8C8C8"/>
              <w:bottom w:sz="4" w:val="single" w:color="C8C8C8"/>
              <w:right w:sz="4" w:val="single" w:color="C8C8C8"/>
            </w:tcBorders>
            <w:vAlign w:val="center"/>
          </w:tcPr>
          <w:p>
            <w:r>
              <w:rPr>
                <w:rFonts w:ascii="Aptos" w:hAnsi="Aptos"/>
                <w:color w:val="232323"/>
                <w:sz w:val="17"/>
              </w:rPr>
              <w:t>Sujeto a evaluación interna</w:t>
            </w:r>
          </w:p>
        </w:tc>
      </w:tr>
    </w:tbl>
    <w:p/>
    <w:p>
      <w:pPr>
        <w:pStyle w:val="Heading1"/>
      </w:pPr>
      <w:r>
        <w:t>6. Equivalencia interna referencial</w:t>
      </w:r>
    </w:p>
    <w:p>
      <w:pPr>
        <w:spacing w:after="120"/>
      </w:pPr>
      <w:r>
        <w:rPr>
          <w:rFonts w:ascii="Aptos" w:hAnsi="Aptos"/>
          <w:color w:val="232323"/>
          <w:sz w:val="21"/>
        </w:rPr>
        <w:t>La equivalencia inicial referencial será:</w:t>
      </w:r>
    </w:p>
    <w:p>
      <w:pPr>
        <w:jc w:val="center"/>
      </w:pPr>
      <w:r>
        <w:rPr>
          <w:rFonts w:ascii="Aptos Display" w:hAnsi="Aptos Display"/>
          <w:b/>
          <w:color w:val="C79C3A"/>
          <w:sz w:val="32"/>
        </w:rPr>
        <w:t>10 LUMENS = S/1 de beneficio interno</w:t>
      </w:r>
    </w:p>
    <w:p>
      <w:pPr>
        <w:spacing w:after="120"/>
      </w:pPr>
      <w:r>
        <w:rPr>
          <w:rFonts w:ascii="Aptos" w:hAnsi="Aptos"/>
          <w:color w:val="232323"/>
          <w:sz w:val="21"/>
        </w:rPr>
        <w:t>Esta equivalencia es válida únicamente para canjes internos autorizados. El equivalente en dólares, cuando sea necesario, podrá calcularse según el tipo de cambio referencial vigente al momento del canje.</w:t>
      </w:r>
    </w:p>
    <w:p>
      <w:pPr>
        <w:spacing w:after="120"/>
      </w:pPr>
      <w:r>
        <w:rPr>
          <w:rFonts w:ascii="Aptos" w:hAnsi="Aptos"/>
          <w:color w:val="232323"/>
          <w:sz w:val="21"/>
        </w:rPr>
        <w:t>ReNaSer &amp; OMTAC podrán actualizar reglas, porcentajes, promociones y equivalencias internas según necesidades operativas, campañas, sostenibilidad del ecosistema y disponibilidad de beneficios.</w:t>
      </w:r>
    </w:p>
    <w:p>
      <w:pPr>
        <w:pStyle w:val="Heading1"/>
      </w:pPr>
      <w:r>
        <w:t>7. Formas de ganar LUMENS</w:t>
      </w:r>
    </w:p>
    <w:p>
      <w:pPr>
        <w:spacing w:after="120"/>
      </w:pPr>
      <w:r>
        <w:rPr>
          <w:rFonts w:ascii="Aptos" w:hAnsi="Aptos"/>
          <w:color w:val="232323"/>
          <w:sz w:val="21"/>
        </w:rPr>
        <w:t>El miembro podrá ganar LUMENS mediante acciones reconocidas por ReNaSer &amp; OMTAC, tales como:</w:t>
      </w:r>
    </w:p>
    <w:p>
      <w:pPr>
        <w:pStyle w:val="ListBullet"/>
      </w:pPr>
      <w:r>
        <w:rPr>
          <w:rFonts w:ascii="Aptos" w:hAnsi="Aptos"/>
          <w:color w:val="232323"/>
          <w:sz w:val="21"/>
        </w:rPr>
        <w:t>comprar cursos, ebooks, talleres, diplomados o membresías autorizadas</w:t>
      </w:r>
    </w:p>
    <w:p>
      <w:pPr>
        <w:pStyle w:val="ListBullet"/>
      </w:pPr>
      <w:r>
        <w:rPr>
          <w:rFonts w:ascii="Aptos" w:hAnsi="Aptos"/>
          <w:color w:val="232323"/>
          <w:sz w:val="21"/>
        </w:rPr>
        <w:t>asistir a lives, clases, retos, webinars o eventos oficiales</w:t>
      </w:r>
    </w:p>
    <w:p>
      <w:pPr>
        <w:pStyle w:val="ListBullet"/>
      </w:pPr>
      <w:r>
        <w:rPr>
          <w:rFonts w:ascii="Aptos" w:hAnsi="Aptos"/>
          <w:color w:val="232323"/>
          <w:sz w:val="21"/>
        </w:rPr>
        <w:t>invitar nuevos miembros al Círculo Cuántico ReNaSer</w:t>
      </w:r>
    </w:p>
    <w:p>
      <w:pPr>
        <w:pStyle w:val="ListBullet"/>
      </w:pPr>
      <w:r>
        <w:rPr>
          <w:rFonts w:ascii="Aptos" w:hAnsi="Aptos"/>
          <w:color w:val="232323"/>
          <w:sz w:val="21"/>
        </w:rPr>
        <w:t>referir compradores reales de productos o programas</w:t>
      </w:r>
    </w:p>
    <w:p>
      <w:pPr>
        <w:pStyle w:val="ListBullet"/>
      </w:pPr>
      <w:r>
        <w:rPr>
          <w:rFonts w:ascii="Aptos" w:hAnsi="Aptos"/>
          <w:color w:val="232323"/>
          <w:sz w:val="21"/>
        </w:rPr>
        <w:t>participar como embajador o aliado autorizado</w:t>
      </w:r>
    </w:p>
    <w:p>
      <w:pPr>
        <w:pStyle w:val="ListBullet"/>
      </w:pPr>
      <w:r>
        <w:rPr>
          <w:rFonts w:ascii="Aptos" w:hAnsi="Aptos"/>
          <w:color w:val="232323"/>
          <w:sz w:val="21"/>
        </w:rPr>
        <w:t>completar encuestas, testimonios o actividades comunitarias</w:t>
      </w:r>
    </w:p>
    <w:p>
      <w:pPr>
        <w:pStyle w:val="ListBullet"/>
      </w:pPr>
      <w:r>
        <w:rPr>
          <w:rFonts w:ascii="Aptos" w:hAnsi="Aptos"/>
          <w:color w:val="232323"/>
          <w:sz w:val="21"/>
        </w:rPr>
        <w:t>participar en campañas especiales de ReNaSer &amp; OMTAC</w:t>
      </w:r>
    </w:p>
    <w:p>
      <w:pPr>
        <w:pStyle w:val="Heading1"/>
      </w:pPr>
      <w:r>
        <w:t>8. Formas de usar LUMENS</w:t>
      </w:r>
    </w:p>
    <w:p>
      <w:pPr>
        <w:spacing w:after="120"/>
      </w:pPr>
      <w:r>
        <w:rPr>
          <w:rFonts w:ascii="Aptos" w:hAnsi="Aptos"/>
          <w:color w:val="232323"/>
          <w:sz w:val="21"/>
        </w:rPr>
        <w:t>Los LUMENS podrán utilizarse para acceder a beneficios autorizados, entre ellos:</w:t>
      </w:r>
    </w:p>
    <w:p>
      <w:pPr>
        <w:pStyle w:val="ListBullet"/>
      </w:pPr>
      <w:r>
        <w:rPr>
          <w:rFonts w:ascii="Aptos" w:hAnsi="Aptos"/>
          <w:color w:val="232323"/>
          <w:sz w:val="21"/>
        </w:rPr>
        <w:t>descuentos en cursos, talleres, diplomados y programas seleccionados</w:t>
      </w:r>
    </w:p>
    <w:p>
      <w:pPr>
        <w:pStyle w:val="ListBullet"/>
      </w:pPr>
      <w:r>
        <w:rPr>
          <w:rFonts w:ascii="Aptos" w:hAnsi="Aptos"/>
          <w:color w:val="232323"/>
          <w:sz w:val="21"/>
        </w:rPr>
        <w:t>canje por ebooks, audios, materiales digitales o bonos especiales</w:t>
      </w:r>
    </w:p>
    <w:p>
      <w:pPr>
        <w:pStyle w:val="ListBullet"/>
      </w:pPr>
      <w:r>
        <w:rPr>
          <w:rFonts w:ascii="Aptos" w:hAnsi="Aptos"/>
          <w:color w:val="232323"/>
          <w:sz w:val="21"/>
        </w:rPr>
        <w:t>acceso a eventos internos, lives privados o mentorías grupales</w:t>
      </w:r>
    </w:p>
    <w:p>
      <w:pPr>
        <w:pStyle w:val="ListBullet"/>
      </w:pPr>
      <w:r>
        <w:rPr>
          <w:rFonts w:ascii="Aptos" w:hAnsi="Aptos"/>
          <w:color w:val="232323"/>
          <w:sz w:val="21"/>
        </w:rPr>
        <w:t>beneficios para membresías ReNaSer, OMTAC o campañas especiales</w:t>
      </w:r>
    </w:p>
    <w:p>
      <w:pPr>
        <w:pStyle w:val="ListBullet"/>
      </w:pPr>
      <w:r>
        <w:rPr>
          <w:rFonts w:ascii="Aptos" w:hAnsi="Aptos"/>
          <w:color w:val="232323"/>
          <w:sz w:val="21"/>
        </w:rPr>
        <w:t>entradas, promociones y beneficios vinculados a congresos, cuando sean autorizados</w:t>
      </w:r>
    </w:p>
    <w:p>
      <w:pPr>
        <w:pStyle w:val="ListBullet"/>
      </w:pPr>
      <w:r>
        <w:rPr>
          <w:rFonts w:ascii="Aptos" w:hAnsi="Aptos"/>
          <w:color w:val="232323"/>
          <w:sz w:val="21"/>
        </w:rPr>
        <w:t>otros beneficios aprobados oficialmente por ReNaSer &amp; OMTAC</w:t>
      </w:r>
    </w:p>
    <w:p>
      <w:pPr>
        <w:pStyle w:val="Heading1"/>
      </w:pPr>
      <w:r>
        <w:t>9. Canje máximo y campañas especiales</w:t>
      </w:r>
    </w:p>
    <w:p>
      <w:pPr>
        <w:spacing w:after="120"/>
      </w:pPr>
      <w:r>
        <w:rPr>
          <w:rFonts w:ascii="Aptos" w:hAnsi="Aptos"/>
          <w:color w:val="232323"/>
          <w:sz w:val="21"/>
        </w:rPr>
        <w:t>Como regla general estable, el canje máximo recomendado será de hasta el 30% del valor del producto, curso, servicio o beneficio autorizado.</w:t>
      </w:r>
    </w:p>
    <w:p>
      <w:pPr>
        <w:spacing w:after="120"/>
      </w:pPr>
      <w:r>
        <w:rPr>
          <w:rFonts w:ascii="Aptos" w:hAnsi="Aptos"/>
          <w:color w:val="232323"/>
          <w:sz w:val="21"/>
        </w:rPr>
        <w:t>Sin embargo, ReNaSer &amp; OMTAC podrán crear campañas especiales con porcentajes superiores de canje, especialmente para miembros fundadores, embajadores, lanzamientos, activaciones y promociones internas.</w:t>
      </w:r>
    </w:p>
    <w:p>
      <w:pPr>
        <w:spacing w:after="120"/>
      </w:pPr>
      <w:r>
        <w:rPr>
          <w:rFonts w:ascii="Aptos" w:hAnsi="Aptos"/>
          <w:color w:val="232323"/>
          <w:sz w:val="21"/>
        </w:rPr>
        <w:t>Para los primeros 100 Miembros Fundadores LUMEN, podrá aplicarse un beneficio preferencial de canje de hasta el 100% durante los primeros 60 días desde su activación, exclusivamente en productos digitales, talleres, bonos o beneficios seleccionados por ReNaSer &amp; OMTAC.</w:t>
      </w:r>
    </w:p>
    <w:p>
      <w:pPr>
        <w:pStyle w:val="Heading1"/>
      </w:pPr>
      <w:r>
        <w:t>10. Restricciones de uso</w:t>
      </w:r>
    </w:p>
    <w:p>
      <w:pPr>
        <w:spacing w:after="120"/>
      </w:pPr>
      <w:r>
        <w:rPr>
          <w:rFonts w:ascii="Aptos" w:hAnsi="Aptos"/>
          <w:color w:val="232323"/>
          <w:sz w:val="21"/>
        </w:rPr>
        <w:t>El miembro acepta que los LUMENS no podrán utilizarse para:</w:t>
      </w:r>
    </w:p>
    <w:p>
      <w:pPr>
        <w:pStyle w:val="ListBullet"/>
      </w:pPr>
      <w:r>
        <w:rPr>
          <w:rFonts w:ascii="Aptos" w:hAnsi="Aptos"/>
          <w:color w:val="232323"/>
          <w:sz w:val="21"/>
        </w:rPr>
        <w:t>retiro en efectivo</w:t>
      </w:r>
    </w:p>
    <w:p>
      <w:pPr>
        <w:pStyle w:val="ListBullet"/>
      </w:pPr>
      <w:r>
        <w:rPr>
          <w:rFonts w:ascii="Aptos" w:hAnsi="Aptos"/>
          <w:color w:val="232323"/>
          <w:sz w:val="21"/>
        </w:rPr>
        <w:t>transferencia bancaria</w:t>
      </w:r>
    </w:p>
    <w:p>
      <w:pPr>
        <w:pStyle w:val="ListBullet"/>
      </w:pPr>
      <w:r>
        <w:rPr>
          <w:rFonts w:ascii="Aptos" w:hAnsi="Aptos"/>
          <w:color w:val="232323"/>
          <w:sz w:val="21"/>
        </w:rPr>
        <w:t>cambio directo por soles, dólares u otra moneda</w:t>
      </w:r>
    </w:p>
    <w:p>
      <w:pPr>
        <w:pStyle w:val="ListBullet"/>
      </w:pPr>
      <w:r>
        <w:rPr>
          <w:rFonts w:ascii="Aptos" w:hAnsi="Aptos"/>
          <w:color w:val="232323"/>
          <w:sz w:val="21"/>
        </w:rPr>
        <w:t>compra especulativa o trading</w:t>
      </w:r>
    </w:p>
    <w:p>
      <w:pPr>
        <w:pStyle w:val="ListBullet"/>
      </w:pPr>
      <w:r>
        <w:rPr>
          <w:rFonts w:ascii="Aptos" w:hAnsi="Aptos"/>
          <w:color w:val="232323"/>
          <w:sz w:val="21"/>
        </w:rPr>
        <w:t>promesas de ganancia financiera</w:t>
      </w:r>
    </w:p>
    <w:p>
      <w:pPr>
        <w:pStyle w:val="ListBullet"/>
      </w:pPr>
      <w:r>
        <w:rPr>
          <w:rFonts w:ascii="Aptos" w:hAnsi="Aptos"/>
          <w:color w:val="232323"/>
          <w:sz w:val="21"/>
        </w:rPr>
        <w:t>venta no autorizada fuera del ecosistema</w:t>
      </w:r>
    </w:p>
    <w:p>
      <w:pPr>
        <w:pStyle w:val="ListBullet"/>
      </w:pPr>
      <w:r>
        <w:rPr>
          <w:rFonts w:ascii="Aptos" w:hAnsi="Aptos"/>
          <w:color w:val="232323"/>
          <w:sz w:val="21"/>
        </w:rPr>
        <w:t>suplantación de identidad o manipulación de saldos</w:t>
      </w:r>
    </w:p>
    <w:p>
      <w:pPr>
        <w:pStyle w:val="ListBullet"/>
      </w:pPr>
      <w:r>
        <w:rPr>
          <w:rFonts w:ascii="Aptos" w:hAnsi="Aptos"/>
          <w:color w:val="232323"/>
          <w:sz w:val="21"/>
        </w:rPr>
        <w:t>cualquier uso contrario a las políticas internas de ReNaSer &amp; OMTAC</w:t>
      </w:r>
    </w:p>
    <w:p>
      <w:pPr>
        <w:pStyle w:val="Heading1"/>
      </w:pPr>
      <w:r>
        <w:t>11. Vigencia, vencimiento y actividad</w:t>
      </w:r>
    </w:p>
    <w:p>
      <w:pPr>
        <w:spacing w:after="120"/>
      </w:pPr>
      <w:r>
        <w:rPr>
          <w:rFonts w:ascii="Aptos" w:hAnsi="Aptos"/>
          <w:color w:val="232323"/>
          <w:sz w:val="21"/>
        </w:rPr>
        <w:t>Los LUMENS podrán vencer luego de 12 meses sin actividad registrada en la cuenta interna del miembro. Se considera actividad válida: compra, asistencia a eventos, participación, referido validado, renovación, canje o cualquier acción reconocida por ReNaSer &amp; OMTAC.</w:t>
      </w:r>
    </w:p>
    <w:p>
      <w:pPr>
        <w:spacing w:after="120"/>
      </w:pPr>
      <w:r>
        <w:rPr>
          <w:rFonts w:ascii="Aptos" w:hAnsi="Aptos"/>
          <w:color w:val="232323"/>
          <w:sz w:val="21"/>
        </w:rPr>
        <w:t>ReNaSer &amp; OMTAC podrán comunicar campañas de reactivación, bonos especiales o condiciones de extensión de vigencia según criterio administrativo.</w:t>
      </w:r>
    </w:p>
    <w:p>
      <w:pPr>
        <w:pStyle w:val="Heading1"/>
      </w:pPr>
      <w:r>
        <w:t>12. Niveles LUMEN</w:t>
      </w:r>
    </w:p>
    <w:tbl>
      <w:tblPr>
        <w:tblW w:type="auto" w:w="0"/>
        <w:jc w:val="center"/>
        <w:tblLook w:firstColumn="1" w:firstRow="1" w:lastColumn="0" w:lastRow="0" w:noHBand="0" w:noVBand="1" w:val="04A0"/>
      </w:tblPr>
      <w:tblGrid>
        <w:gridCol w:w="3456"/>
        <w:gridCol w:w="3456"/>
        <w:gridCol w:w="3456"/>
      </w:tblGrid>
      <w:tr>
        <w:tc>
          <w:tcPr>
            <w:tcW w:type="dxa" w:w="3456"/>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8"/>
              </w:rPr>
              <w:t>Nivel</w:t>
            </w:r>
          </w:p>
        </w:tc>
        <w:tc>
          <w:tcPr>
            <w:tcW w:type="dxa" w:w="3456"/>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8"/>
              </w:rPr>
              <w:t>Rango de LUMENS</w:t>
            </w:r>
          </w:p>
        </w:tc>
        <w:tc>
          <w:tcPr>
            <w:tcW w:type="dxa" w:w="3456"/>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8"/>
              </w:rPr>
              <w:t>Beneficio general</w:t>
            </w:r>
          </w:p>
        </w:tc>
      </w:tr>
      <w:tr>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Luz</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0 - 499</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Acceso a recompensas básicas</w:t>
            </w:r>
          </w:p>
        </w:tc>
      </w:tr>
      <w:tr>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Bronce</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500 - 1,499</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Prioridad en promociones</w:t>
            </w:r>
          </w:p>
        </w:tc>
      </w:tr>
      <w:tr>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Plata</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1,500 - 3,999</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Beneficios mejorados y acceso preferencial</w:t>
            </w:r>
          </w:p>
        </w:tc>
      </w:tr>
      <w:tr>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Oro</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4,000 - 9,999</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Acceso VIP a campañas y eventos online</w:t>
            </w:r>
          </w:p>
        </w:tc>
      </w:tr>
      <w:tr>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Diamante</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10,000+</w:t>
            </w:r>
          </w:p>
        </w:tc>
        <w:tc>
          <w:tcPr>
            <w:tcW w:type="dxa" w:w="3456"/>
            <w:tcBorders>
              <w:top w:sz="4" w:val="single" w:color="C8C8C8"/>
              <w:left w:sz="4" w:val="single" w:color="C8C8C8"/>
              <w:bottom w:sz="4" w:val="single" w:color="C8C8C8"/>
              <w:right w:sz="4" w:val="single" w:color="C8C8C8"/>
            </w:tcBorders>
            <w:vAlign w:val="center"/>
          </w:tcPr>
          <w:p>
            <w:r>
              <w:rPr>
                <w:rFonts w:ascii="Aptos" w:hAnsi="Aptos"/>
                <w:color w:val="232323"/>
                <w:sz w:val="18"/>
              </w:rPr>
              <w:t>Beneficios exclusivos y trato preferencial</w:t>
            </w:r>
          </w:p>
        </w:tc>
      </w:tr>
    </w:tbl>
    <w:p/>
    <w:p>
      <w:pPr>
        <w:pStyle w:val="Heading1"/>
      </w:pPr>
      <w:r>
        <w:t>13. Causales de suspensión, ajuste o pérdida de LUMENS</w:t>
      </w:r>
    </w:p>
    <w:p>
      <w:pPr>
        <w:spacing w:after="120"/>
      </w:pPr>
      <w:r>
        <w:rPr>
          <w:rFonts w:ascii="Aptos" w:hAnsi="Aptos"/>
          <w:color w:val="232323"/>
          <w:sz w:val="21"/>
        </w:rPr>
        <w:t>ReNaSer &amp; OMTAC podrán suspender, ajustar o anular LUMENS cuando detecten:</w:t>
      </w:r>
    </w:p>
    <w:p>
      <w:pPr>
        <w:pStyle w:val="ListBullet"/>
      </w:pPr>
      <w:r>
        <w:rPr>
          <w:rFonts w:ascii="Aptos" w:hAnsi="Aptos"/>
          <w:color w:val="232323"/>
          <w:sz w:val="21"/>
        </w:rPr>
        <w:t>fraude, alteración de comprobantes o información falsa</w:t>
      </w:r>
    </w:p>
    <w:p>
      <w:pPr>
        <w:pStyle w:val="ListBullet"/>
      </w:pPr>
      <w:r>
        <w:rPr>
          <w:rFonts w:ascii="Aptos" w:hAnsi="Aptos"/>
          <w:color w:val="232323"/>
          <w:sz w:val="21"/>
        </w:rPr>
        <w:t>uso de identidades falsas o cuentas duplicadas sin autorización</w:t>
      </w:r>
    </w:p>
    <w:p>
      <w:pPr>
        <w:pStyle w:val="ListBullet"/>
      </w:pPr>
      <w:r>
        <w:rPr>
          <w:rFonts w:ascii="Aptos" w:hAnsi="Aptos"/>
          <w:color w:val="232323"/>
          <w:sz w:val="21"/>
        </w:rPr>
        <w:t>intento de venta externa de LUMENS</w:t>
      </w:r>
    </w:p>
    <w:p>
      <w:pPr>
        <w:pStyle w:val="ListBullet"/>
      </w:pPr>
      <w:r>
        <w:rPr>
          <w:rFonts w:ascii="Aptos" w:hAnsi="Aptos"/>
          <w:color w:val="232323"/>
          <w:sz w:val="21"/>
        </w:rPr>
        <w:t>spam abusivo, prácticas engañosas o captación indebida</w:t>
      </w:r>
    </w:p>
    <w:p>
      <w:pPr>
        <w:pStyle w:val="ListBullet"/>
      </w:pPr>
      <w:r>
        <w:rPr>
          <w:rFonts w:ascii="Aptos" w:hAnsi="Aptos"/>
          <w:color w:val="232323"/>
          <w:sz w:val="21"/>
        </w:rPr>
        <w:t>desprestigio grave del sistema, de ReNaSer, de OMTAC o de sus miembros</w:t>
      </w:r>
    </w:p>
    <w:p>
      <w:pPr>
        <w:pStyle w:val="ListBullet"/>
      </w:pPr>
      <w:r>
        <w:rPr>
          <w:rFonts w:ascii="Aptos" w:hAnsi="Aptos"/>
          <w:color w:val="232323"/>
          <w:sz w:val="21"/>
        </w:rPr>
        <w:t>incumplimiento de normas internas, políticas comunitarias o condiciones de campaña</w:t>
      </w:r>
    </w:p>
    <w:p>
      <w:pPr>
        <w:pStyle w:val="ListBullet"/>
      </w:pPr>
      <w:r>
        <w:rPr>
          <w:rFonts w:ascii="Aptos" w:hAnsi="Aptos"/>
          <w:color w:val="232323"/>
          <w:sz w:val="21"/>
        </w:rPr>
        <w:t>errores administrativos evidentes en la asignación de saldos</w:t>
      </w:r>
    </w:p>
    <w:p>
      <w:pPr>
        <w:pStyle w:val="Heading1"/>
      </w:pPr>
      <w:r>
        <w:t>14. Responsabilidades del miembro</w:t>
      </w:r>
    </w:p>
    <w:p>
      <w:pPr>
        <w:spacing w:after="120"/>
      </w:pPr>
      <w:r>
        <w:rPr>
          <w:rFonts w:ascii="Aptos" w:hAnsi="Aptos"/>
          <w:color w:val="232323"/>
          <w:sz w:val="21"/>
        </w:rPr>
        <w:t>El miembro se compromete a usar LUMEN Rewards de forma ética, transparente y conforme a las reglas internas. Asimismo, declara que entiende la naturaleza no financiera del sistema y acepta no presentarlo ante terceros como inversión, banco, criptomoneda pública, dinero electrónico regulado o mecanismo de ganancia garantizada.</w:t>
      </w:r>
    </w:p>
    <w:p>
      <w:pPr>
        <w:pStyle w:val="Heading1"/>
      </w:pPr>
      <w:r>
        <w:t>15. Responsabilidades de ReNaSer &amp; OMTAC</w:t>
      </w:r>
    </w:p>
    <w:p>
      <w:pPr>
        <w:spacing w:after="120"/>
      </w:pPr>
      <w:r>
        <w:rPr>
          <w:rFonts w:ascii="Aptos" w:hAnsi="Aptos"/>
          <w:color w:val="232323"/>
          <w:sz w:val="21"/>
        </w:rPr>
        <w:t>ReNaSer &amp; OMTAC se comprometen a administrar el sistema de forma ordenada, registrar movimientos de manera razonable, comunicar reglas principales de uso y definir los beneficios disponibles según campañas, disponibilidad operativa y sostenibilidad del ecosistema.</w:t>
      </w:r>
    </w:p>
    <w:p>
      <w:pPr>
        <w:spacing w:after="120"/>
      </w:pPr>
      <w:r>
        <w:rPr>
          <w:rFonts w:ascii="Aptos" w:hAnsi="Aptos"/>
          <w:color w:val="232323"/>
          <w:sz w:val="21"/>
        </w:rPr>
        <w:t>ReNaSer &amp; OMTAC podrán modificar, pausar, actualizar o reorganizar el sistema LUMEN Rewards cuando lo consideren necesario para proteger la integridad del ecosistema, evitar abusos o mejorar el funcionamiento del programa.</w:t>
      </w:r>
    </w:p>
    <w:p>
      <w:pPr>
        <w:pStyle w:val="Heading1"/>
      </w:pPr>
      <w:r>
        <w:t>16. Descargo de responsabilidad</w:t>
      </w:r>
    </w:p>
    <w:tbl>
      <w:tblPr>
        <w:tblW w:type="auto" w:w="0"/>
        <w:jc w:val="center"/>
        <w:tblLook w:firstColumn="1" w:firstRow="1" w:lastColumn="0" w:lastRow="0" w:noHBand="0" w:noVBand="1" w:val="04A0"/>
      </w:tblPr>
      <w:tblGrid>
        <w:gridCol w:w="10368"/>
      </w:tblGrid>
      <w:tr>
        <w:tc>
          <w:tcPr>
            <w:tcW w:type="dxa" w:w="10368"/>
            <w:shd w:fill="F7F1DE"/>
            <w:tcBorders>
              <w:top w:sz="8" w:val="single" w:color="C79C3A"/>
              <w:left w:sz="8" w:val="single" w:color="C79C3A"/>
              <w:bottom w:sz="8" w:val="single" w:color="C79C3A"/>
              <w:right w:sz="8" w:val="single" w:color="C79C3A"/>
            </w:tcBorders>
          </w:tcPr>
          <w:p>
            <w:r>
              <w:rPr>
                <w:rFonts w:ascii="Aptos" w:hAnsi="Aptos"/>
                <w:color w:val="232323"/>
                <w:sz w:val="19"/>
              </w:rPr>
              <w:t>El miembro declara conocer y aceptar que LUMEN Rewards es un sistema privado e interno de recompensas y beneficios. No es una entidad financiera, banco, cooperativa de ahorro, billetera digital regulada, emisor de dinero electrónico, criptomoneda pública, inversión, valor mobiliario, sistema de trading ni promesa de rentabilidad. Los LUMENS no son libremente convertibles a efectivo y solo pueden utilizarse para beneficios autorizados dentro del ecosistema ReNaSer &amp; OMTAC.</w:t>
            </w:r>
          </w:p>
        </w:tc>
      </w:tr>
    </w:tbl>
    <w:p/>
    <w:p>
      <w:pPr>
        <w:pStyle w:val="Heading1"/>
      </w:pPr>
      <w:r>
        <w:t>17. Aceptación expresa</w:t>
      </w:r>
    </w:p>
    <w:p>
      <w:pPr>
        <w:spacing w:after="120"/>
      </w:pPr>
      <w:r>
        <w:rPr>
          <w:rFonts w:ascii="Aptos" w:hAnsi="Aptos"/>
          <w:color w:val="232323"/>
          <w:sz w:val="21"/>
        </w:rPr>
        <w:t>Con su firma física, aceptación digital, confirmación por WhatsApp, formulario o cualquier mecanismo de validación autorizado, el miembro declara haber leído, comprendido y aceptado las condiciones de adhesión y uso de LUMEN Rewards.</w:t>
      </w:r>
    </w:p>
    <w:p>
      <w:pPr>
        <w:spacing w:after="120"/>
      </w:pPr>
      <w:r>
        <w:rPr>
          <w:rFonts w:ascii="Aptos" w:hAnsi="Aptos"/>
          <w:color w:val="232323"/>
          <w:sz w:val="21"/>
        </w:rPr>
        <w:t>Frase de aceptación sugerida para medios digitales:</w:t>
      </w:r>
    </w:p>
    <w:p>
      <w:pPr>
        <w:jc w:val="center"/>
      </w:pPr>
      <w:r>
        <w:rPr>
          <w:rFonts w:ascii="Aptos" w:hAnsi="Aptos"/>
          <w:i/>
          <w:color w:val="071A2C"/>
          <w:sz w:val="21"/>
        </w:rPr>
        <w:t>"Declaro haber leído y aceptado las condiciones de uso de LUMEN Rewards dentro del ecosistema ReNaSer &amp; OMTAC."</w:t>
      </w:r>
    </w:p>
    <w:p>
      <w:pPr>
        <w:pStyle w:val="Heading1"/>
      </w:pPr>
      <w:r>
        <w:t>18. Firma y constancia de adhesión</w:t>
      </w:r>
    </w:p>
    <w:tbl>
      <w:tblPr>
        <w:tblW w:type="auto" w:w="0"/>
        <w:jc w:val="center"/>
        <w:tblLook w:firstColumn="1" w:firstRow="1" w:lastColumn="0" w:lastRow="0" w:noHBand="0" w:noVBand="1" w:val="04A0"/>
      </w:tblPr>
      <w:tblGrid>
        <w:gridCol w:w="5184"/>
        <w:gridCol w:w="5184"/>
      </w:tblGrid>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Lugar y fecha</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Nombre completo del miembro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Código LUMEN</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Capital inicial simbólico asignado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Nivel inicial</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bl>
    <w:p/>
    <w:tbl>
      <w:tblPr>
        <w:tblW w:type="auto" w:w="0"/>
        <w:jc w:val="center"/>
        <w:tblLook w:firstColumn="1" w:firstRow="1" w:lastColumn="0" w:lastRow="0" w:noHBand="0" w:noVBand="1" w:val="04A0"/>
      </w:tblPr>
      <w:tblGrid>
        <w:gridCol w:w="5184"/>
        <w:gridCol w:w="5184"/>
      </w:tblGrid>
      <w:tr>
        <w:tc>
          <w:tcPr>
            <w:tcW w:type="dxa" w:w="5184"/>
            <w:shd w:fill="F2F2F2"/>
            <w:tcBorders>
              <w:top w:sz="4" w:val="single" w:color="C8C8C8"/>
              <w:left w:sz="4" w:val="single" w:color="C8C8C8"/>
              <w:bottom w:sz="4" w:val="single" w:color="C8C8C8"/>
              <w:right w:sz="4" w:val="single" w:color="C8C8C8"/>
            </w:tcBorders>
            <w:vAlign w:val="center"/>
          </w:tcPr>
          <w:p>
            <w:pPr>
              <w:jc w:val="center"/>
            </w:pPr>
            <w:r>
              <w:rPr>
                <w:rFonts w:ascii="Aptos" w:hAnsi="Aptos"/>
                <w:b/>
                <w:color w:val="232323"/>
                <w:sz w:val="18"/>
              </w:rPr>
              <w:t>Firma del miembro</w:t>
            </w:r>
          </w:p>
        </w:tc>
        <w:tc>
          <w:tcPr>
            <w:tcW w:type="dxa" w:w="5184"/>
            <w:shd w:fill="F2F2F2"/>
            <w:tcBorders>
              <w:top w:sz="4" w:val="single" w:color="C8C8C8"/>
              <w:left w:sz="4" w:val="single" w:color="C8C8C8"/>
              <w:bottom w:sz="4" w:val="single" w:color="C8C8C8"/>
              <w:right w:sz="4" w:val="single" w:color="C8C8C8"/>
            </w:tcBorders>
            <w:vAlign w:val="center"/>
          </w:tcPr>
          <w:p>
            <w:pPr>
              <w:jc w:val="center"/>
            </w:pPr>
            <w:r>
              <w:rPr>
                <w:rFonts w:ascii="Aptos" w:hAnsi="Aptos"/>
                <w:b/>
                <w:color w:val="232323"/>
                <w:sz w:val="18"/>
              </w:rPr>
              <w:t>Representante ReNaSer &amp; OMTAC</w:t>
            </w:r>
          </w:p>
        </w:tc>
      </w:tr>
      <w:tr>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8"/>
              </w:rPr>
              <w:br/>
              <w:br/>
              <w:br/>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8"/>
              </w:rPr>
              <w:br/>
              <w:br/>
              <w:br/>
            </w:r>
          </w:p>
        </w:tc>
      </w:tr>
      <w:tr>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8"/>
              </w:rPr>
              <w:t>Nombre: ____________________________</w:t>
              <w:br/>
              <w:t>DNI: ________________________________</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8"/>
              </w:rPr>
              <w:t>Nombre: ____________________________</w:t>
              <w:br/>
              <w:t>DNI: ________________________________</w:t>
            </w:r>
          </w:p>
        </w:tc>
      </w:tr>
    </w:tbl>
    <w:p>
      <w:r>
        <w:br w:type="page"/>
      </w:r>
    </w:p>
    <w:p>
      <w:pPr>
        <w:jc w:val="center"/>
      </w:pPr>
      <w:r>
        <w:rPr>
          <w:rFonts w:ascii="Aptos Display" w:hAnsi="Aptos Display"/>
          <w:b/>
          <w:color w:val="071A2C"/>
          <w:sz w:val="30"/>
        </w:rPr>
        <w:t>ANEXO 1: RESUMEN OPERATIVO LUMEN REWARDS</w:t>
      </w:r>
    </w:p>
    <w:p>
      <w:pPr>
        <w:pStyle w:val="Heading2"/>
      </w:pPr>
      <w:r>
        <w:t>A. Reglas principales</w:t>
      </w:r>
    </w:p>
    <w:p>
      <w:pPr>
        <w:pStyle w:val="ListBullet"/>
      </w:pPr>
      <w:r>
        <w:rPr>
          <w:rFonts w:ascii="Aptos" w:hAnsi="Aptos"/>
          <w:color w:val="232323"/>
          <w:sz w:val="21"/>
        </w:rPr>
        <w:t>Equivalencia inicial referencial: 10 LUMENS = S/1 de beneficio interno.</w:t>
      </w:r>
    </w:p>
    <w:p>
      <w:pPr>
        <w:pStyle w:val="ListBullet"/>
      </w:pPr>
      <w:r>
        <w:rPr>
          <w:rFonts w:ascii="Aptos" w:hAnsi="Aptos"/>
          <w:color w:val="232323"/>
          <w:sz w:val="21"/>
        </w:rPr>
        <w:t>Uso exclusivo dentro del ecosistema ReNaSer &amp; OMTAC.</w:t>
      </w:r>
    </w:p>
    <w:p>
      <w:pPr>
        <w:pStyle w:val="ListBullet"/>
      </w:pPr>
      <w:r>
        <w:rPr>
          <w:rFonts w:ascii="Aptos" w:hAnsi="Aptos"/>
          <w:color w:val="232323"/>
          <w:sz w:val="21"/>
        </w:rPr>
        <w:t>Canje estable sugerido: hasta 30% del valor del producto o servicio autorizado.</w:t>
      </w:r>
    </w:p>
    <w:p>
      <w:pPr>
        <w:pStyle w:val="ListBullet"/>
      </w:pPr>
      <w:r>
        <w:rPr>
          <w:rFonts w:ascii="Aptos" w:hAnsi="Aptos"/>
          <w:color w:val="232323"/>
          <w:sz w:val="21"/>
        </w:rPr>
        <w:t>Campaña fundadores: hasta 100% por 60 días en beneficios seleccionados.</w:t>
      </w:r>
    </w:p>
    <w:p>
      <w:pPr>
        <w:pStyle w:val="ListBullet"/>
      </w:pPr>
      <w:r>
        <w:rPr>
          <w:rFonts w:ascii="Aptos" w:hAnsi="Aptos"/>
          <w:color w:val="232323"/>
          <w:sz w:val="21"/>
        </w:rPr>
        <w:t>No convertible a efectivo, soles, dólares ni transferencias bancarias.</w:t>
      </w:r>
    </w:p>
    <w:p>
      <w:pPr>
        <w:pStyle w:val="ListBullet"/>
      </w:pPr>
      <w:r>
        <w:rPr>
          <w:rFonts w:ascii="Aptos" w:hAnsi="Aptos"/>
          <w:color w:val="232323"/>
          <w:sz w:val="21"/>
        </w:rPr>
        <w:t>Vigencia referencial: 12 meses sin actividad, salvo campaña especial.</w:t>
      </w:r>
    </w:p>
    <w:p>
      <w:pPr>
        <w:pStyle w:val="Heading2"/>
      </w:pPr>
      <w:r>
        <w:t>B. Ejemplos de movimientos internos</w:t>
      </w:r>
    </w:p>
    <w:tbl>
      <w:tblPr>
        <w:tblW w:type="auto" w:w="0"/>
        <w:jc w:val="center"/>
        <w:tblLook w:firstColumn="1" w:firstRow="1" w:lastColumn="0" w:lastRow="0" w:noHBand="0" w:noVBand="1" w:val="04A0"/>
      </w:tblPr>
      <w:tblGrid>
        <w:gridCol w:w="2074"/>
        <w:gridCol w:w="2074"/>
        <w:gridCol w:w="2074"/>
        <w:gridCol w:w="2074"/>
        <w:gridCol w:w="2074"/>
      </w:tblGrid>
      <w:tr>
        <w:tc>
          <w:tcPr>
            <w:tcW w:type="dxa" w:w="2074"/>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6"/>
              </w:rPr>
              <w:t>Fecha</w:t>
            </w:r>
          </w:p>
        </w:tc>
        <w:tc>
          <w:tcPr>
            <w:tcW w:type="dxa" w:w="2074"/>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6"/>
              </w:rPr>
              <w:t>Concepto</w:t>
            </w:r>
          </w:p>
        </w:tc>
        <w:tc>
          <w:tcPr>
            <w:tcW w:type="dxa" w:w="2074"/>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6"/>
              </w:rPr>
              <w:t>LUMENS ganados</w:t>
            </w:r>
          </w:p>
        </w:tc>
        <w:tc>
          <w:tcPr>
            <w:tcW w:type="dxa" w:w="2074"/>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6"/>
              </w:rPr>
              <w:t>LUMENS usados</w:t>
            </w:r>
          </w:p>
        </w:tc>
        <w:tc>
          <w:tcPr>
            <w:tcW w:type="dxa" w:w="2074"/>
            <w:shd w:fill="071A2C"/>
            <w:tcBorders>
              <w:top w:sz="4" w:val="single" w:color="C8C8C8"/>
              <w:left w:sz="4" w:val="single" w:color="C8C8C8"/>
              <w:bottom w:sz="4" w:val="single" w:color="C8C8C8"/>
              <w:right w:sz="4" w:val="single" w:color="C8C8C8"/>
            </w:tcBorders>
            <w:vAlign w:val="center"/>
          </w:tcPr>
          <w:p>
            <w:r>
              <w:rPr>
                <w:rFonts w:ascii="Aptos" w:hAnsi="Aptos"/>
                <w:b/>
                <w:color w:val="FFFFFF"/>
                <w:sz w:val="16"/>
              </w:rPr>
              <w:t>Saldo final</w:t>
            </w:r>
          </w:p>
        </w:tc>
      </w:tr>
      <w:tr>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__/__/____</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Capital inicial simbólico</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300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300</w:t>
            </w:r>
          </w:p>
        </w:tc>
      </w:tr>
      <w:tr>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__/__/____</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Asistencia a live oficial</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20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320</w:t>
            </w:r>
          </w:p>
        </w:tc>
      </w:tr>
      <w:tr>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__/__/____</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Canje ebook seleccionado</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270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50</w:t>
            </w:r>
          </w:p>
        </w:tc>
      </w:tr>
      <w:tr>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__/__/____</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Referido validado</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300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0</w:t>
            </w:r>
          </w:p>
        </w:tc>
        <w:tc>
          <w:tcPr>
            <w:tcW w:type="dxa" w:w="2074"/>
            <w:tcBorders>
              <w:top w:sz="4" w:val="single" w:color="C8C8C8"/>
              <w:left w:sz="4" w:val="single" w:color="C8C8C8"/>
              <w:bottom w:sz="4" w:val="single" w:color="C8C8C8"/>
              <w:right w:sz="4" w:val="single" w:color="C8C8C8"/>
            </w:tcBorders>
            <w:vAlign w:val="center"/>
          </w:tcPr>
          <w:p>
            <w:r>
              <w:rPr>
                <w:rFonts w:ascii="Aptos" w:hAnsi="Aptos"/>
                <w:color w:val="232323"/>
                <w:sz w:val="16"/>
              </w:rPr>
              <w:t>350</w:t>
            </w:r>
          </w:p>
        </w:tc>
      </w:tr>
    </w:tbl>
    <w:p/>
    <w:p>
      <w:pPr>
        <w:pStyle w:val="Heading2"/>
      </w:pPr>
      <w:r>
        <w:t>C. Constancia rápida de activación</w:t>
      </w:r>
    </w:p>
    <w:tbl>
      <w:tblPr>
        <w:tblW w:type="auto" w:w="0"/>
        <w:jc w:val="center"/>
        <w:tblLook w:firstColumn="1" w:firstRow="1" w:lastColumn="0" w:lastRow="0" w:noHBand="0" w:noVBand="1" w:val="04A0"/>
      </w:tblPr>
      <w:tblGrid>
        <w:gridCol w:w="5184"/>
        <w:gridCol w:w="5184"/>
      </w:tblGrid>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Código LUMEN</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LUM-__________</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Miembro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Fecha de activación</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____ / ____ / ______</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Capital inicial simbólico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__________ LUMENS</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Campaña aplicable</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Responsable de registro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bl>
    <w:p/>
    <w:p>
      <w:pPr>
        <w:pStyle w:val="Heading2"/>
      </w:pPr>
      <w:r>
        <w:t>D. Nota de revisión</w:t>
      </w:r>
    </w:p>
    <w:p>
      <w:pPr>
        <w:spacing w:after="120"/>
      </w:pPr>
      <w:r>
        <w:rPr>
          <w:rFonts w:ascii="Aptos" w:hAnsi="Aptos"/>
          <w:color w:val="232323"/>
          <w:sz w:val="21"/>
        </w:rPr>
        <w:t>Este documento es una base operativa y comercial. Antes de su uso público masivo, se recomienda validarlo con asesoría legal local, especialmente si el sistema evoluciona hacia billetera digital, token, marketplace, transferencias entre usuarios o mecanismos tecnológicos avanzados.</w:t>
      </w:r>
    </w:p>
    <w:p>
      <w:r>
        <w:br w:type="page"/>
      </w:r>
    </w:p>
    <w:p>
      <w:pPr>
        <w:jc w:val="center"/>
      </w:pPr>
      <w:r>
        <w:rPr>
          <w:rFonts w:ascii="Aptos Display" w:hAnsi="Aptos Display"/>
          <w:b/>
          <w:color w:val="071A2C"/>
          <w:sz w:val="30"/>
        </w:rPr>
        <w:t>FICHA RESUMEN DE APERTURA INTERNA LUMEN</w:t>
      </w:r>
    </w:p>
    <w:p>
      <w:pPr>
        <w:jc w:val="center"/>
      </w:pPr>
      <w:r>
        <w:rPr>
          <w:rFonts w:ascii="Aptos Display" w:hAnsi="Aptos Display"/>
          <w:b/>
          <w:color w:val="232323"/>
          <w:sz w:val="20"/>
        </w:rPr>
        <w:t>Uso administrativo interno - Círculo Cuántico ReNaSer</w:t>
      </w:r>
    </w:p>
    <w:tbl>
      <w:tblPr>
        <w:tblW w:type="auto" w:w="0"/>
        <w:jc w:val="center"/>
        <w:tblLook w:firstColumn="1" w:firstRow="1" w:lastColumn="0" w:lastRow="0" w:noHBand="0" w:noVBand="1" w:val="04A0"/>
      </w:tblPr>
      <w:tblGrid>
        <w:gridCol w:w="5184"/>
        <w:gridCol w:w="5184"/>
      </w:tblGrid>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 de ficha</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Código LUMEN</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Nombre completo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Documento de identidad</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WhatsApp</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Correo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Tipo de miembro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t>[ ] Regular   [ ] Fundador   [ ] Embajador   [ ] OMTAC</w:t>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Capital inicial simbólico</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Nivel inicial</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r>
        <w:tc>
          <w:tcPr>
            <w:tcW w:type="dxa" w:w="3456"/>
            <w:tcBorders>
              <w:top w:sz="4" w:val="single" w:color="C8C8C8"/>
              <w:left w:sz="4" w:val="single" w:color="C8C8C8"/>
              <w:bottom w:sz="4" w:val="single" w:color="C8C8C8"/>
              <w:right w:sz="4" w:val="single" w:color="C8C8C8"/>
            </w:tcBorders>
            <w:vAlign w:val="center"/>
            <w:shd w:fill="F2F2F2"/>
          </w:tcPr>
          <w:p>
            <w:r>
              <w:rPr>
                <w:rFonts w:ascii="Aptos" w:hAnsi="Aptos"/>
                <w:b/>
                <w:color w:val="232323"/>
                <w:sz w:val="19"/>
              </w:rPr>
              <w:t>Fecha de activación</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9"/>
              </w:rPr>
            </w:r>
          </w:p>
        </w:tc>
      </w:tr>
    </w:tbl>
    <w:p/>
    <w:p>
      <w:r>
        <w:rPr>
          <w:rFonts w:ascii="Aptos" w:hAnsi="Aptos"/>
          <w:b/>
          <w:color w:val="232323"/>
          <w:sz w:val="21"/>
        </w:rPr>
        <w:t xml:space="preserve">Declaración de aceptación: </w:t>
      </w:r>
      <w:r>
        <w:rPr>
          <w:rFonts w:ascii="Aptos" w:hAnsi="Aptos"/>
          <w:color w:val="232323"/>
          <w:sz w:val="21"/>
        </w:rPr>
        <w:t>Declaro haber leído y aceptado las condiciones de uso de LUMEN Rewards. Reconozco que los LUMENS son beneficios internos no monetarios, no convertibles a efectivo y utilizables únicamente dentro del ecosistema ReNaSer &amp; OMTAC.</w:t>
      </w:r>
    </w:p>
    <w:tbl>
      <w:tblPr>
        <w:tblW w:type="auto" w:w="0"/>
        <w:jc w:val="center"/>
        <w:tblLook w:firstColumn="1" w:firstRow="1" w:lastColumn="0" w:lastRow="0" w:noHBand="0" w:noVBand="1" w:val="04A0"/>
      </w:tblPr>
      <w:tblGrid>
        <w:gridCol w:w="5184"/>
        <w:gridCol w:w="5184"/>
      </w:tblGrid>
      <w:tr>
        <w:tc>
          <w:tcPr>
            <w:tcW w:type="dxa" w:w="5184"/>
            <w:tcBorders>
              <w:top w:sz="4" w:val="single" w:color="C8C8C8"/>
              <w:left w:sz="4" w:val="single" w:color="C8C8C8"/>
              <w:bottom w:sz="4" w:val="single" w:color="C8C8C8"/>
              <w:right w:sz="4" w:val="single" w:color="C8C8C8"/>
            </w:tcBorders>
            <w:vAlign w:val="center"/>
            <w:shd w:fill="F2F2F2"/>
          </w:tcPr>
          <w:p>
            <w:pPr>
              <w:jc w:val="center"/>
            </w:pPr>
            <w:r>
              <w:rPr>
                <w:rFonts w:ascii="Aptos" w:hAnsi="Aptos"/>
                <w:b/>
                <w:color w:val="232323"/>
                <w:sz w:val="18"/>
              </w:rPr>
              <w:t>Firma / aceptación del miembro</w:t>
            </w:r>
          </w:p>
        </w:tc>
        <w:tc>
          <w:tcPr>
            <w:tcW w:type="dxa" w:w="5184"/>
            <w:tcBorders>
              <w:top w:sz="4" w:val="single" w:color="C8C8C8"/>
              <w:left w:sz="4" w:val="single" w:color="C8C8C8"/>
              <w:bottom w:sz="4" w:val="single" w:color="C8C8C8"/>
              <w:right w:sz="4" w:val="single" w:color="C8C8C8"/>
            </w:tcBorders>
            <w:vAlign w:val="center"/>
            <w:shd w:fill="F2F2F2"/>
          </w:tcPr>
          <w:p>
            <w:pPr>
              <w:jc w:val="center"/>
            </w:pPr>
            <w:r>
              <w:rPr>
                <w:rFonts w:ascii="Aptos" w:hAnsi="Aptos"/>
                <w:b/>
                <w:color w:val="232323"/>
                <w:sz w:val="18"/>
              </w:rPr>
              <w:t>Validación interna</w:t>
            </w:r>
          </w:p>
        </w:tc>
      </w:tr>
      <w:tr>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8"/>
              </w:rPr>
              <w:br/>
              <w:br/>
              <w:br/>
              <w:t>Nombre: ____________________________</w:t>
              <w:br/>
              <w:t>DNI: ________________________________</w:t>
            </w:r>
          </w:p>
        </w:tc>
        <w:tc>
          <w:tcPr>
            <w:tcW w:type="dxa" w:w="5184"/>
            <w:tcBorders>
              <w:top w:sz="4" w:val="single" w:color="C8C8C8"/>
              <w:left w:sz="4" w:val="single" w:color="C8C8C8"/>
              <w:bottom w:sz="4" w:val="single" w:color="C8C8C8"/>
              <w:right w:sz="4" w:val="single" w:color="C8C8C8"/>
            </w:tcBorders>
            <w:vAlign w:val="center"/>
          </w:tcPr>
          <w:p>
            <w:r>
              <w:rPr>
                <w:rFonts w:ascii="Aptos" w:hAnsi="Aptos"/>
                <w:color w:val="232323"/>
                <w:sz w:val="18"/>
              </w:rPr>
              <w:br/>
              <w:br/>
              <w:br/>
              <w:t>Responsable: ________________________</w:t>
              <w:br/>
              <w:t>Fecha: ____ / ____ / ______</w:t>
            </w:r>
          </w:p>
        </w:tc>
      </w:tr>
    </w:tbl>
    <w:sectPr w:rsidR="00FC693F" w:rsidRPr="0006063C" w:rsidSect="00034616">
      <w:headerReference w:type="default" r:id="rId9"/>
      <w:footerReference w:type="default" r:id="rId10"/>
      <w:pgSz w:w="12240" w:h="15840"/>
      <w:pgMar w:top="792" w:right="936" w:bottom="792"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color w:val="5A5A5A"/>
        <w:sz w:val="16"/>
      </w:rPr>
      <w:t>Documento privado de adhesión interna. LUMEN no es dinero, banco, inversión ni criptomoneda pública.</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ook w:firstColumn="1" w:firstRow="1" w:lastColumn="0" w:lastRow="0" w:noHBand="0" w:noVBand="1" w:val="04A0"/>
    </w:tblPr>
    <w:tblGrid>
      <w:gridCol w:w="3456"/>
      <w:gridCol w:w="3456"/>
      <w:gridCol w:w="3456"/>
    </w:tblGrid>
    <w:tr>
      <w:tc>
        <w:tcPr>
          <w:tcW w:type="dxa" w:w="1872"/>
        </w:tcPr>
        <w:p>
          <w:r>
            <w:drawing>
              <wp:inline xmlns:a="http://schemas.openxmlformats.org/drawingml/2006/main" xmlns:pic="http://schemas.openxmlformats.org/drawingml/2006/picture">
                <wp:extent cx="685800" cy="686135"/>
                <wp:docPr id="1" name="Picture 1"/>
                <wp:cNvGraphicFramePr>
                  <a:graphicFrameLocks noChangeAspect="1"/>
                </wp:cNvGraphicFramePr>
                <a:graphic>
                  <a:graphicData uri="http://schemas.openxmlformats.org/drawingml/2006/picture">
                    <pic:pic>
                      <pic:nvPicPr>
                        <pic:cNvPr id="0" name="Logo ReNaSer2-min.jpg"/>
                        <pic:cNvPicPr/>
                      </pic:nvPicPr>
                      <pic:blipFill>
                        <a:blip r:embed="rId1"/>
                        <a:stretch>
                          <a:fillRect/>
                        </a:stretch>
                      </pic:blipFill>
                      <pic:spPr>
                        <a:xfrm>
                          <a:off x="0" y="0"/>
                          <a:ext cx="685800" cy="686135"/>
                        </a:xfrm>
                        <a:prstGeom prst="rect"/>
                      </pic:spPr>
                    </pic:pic>
                  </a:graphicData>
                </a:graphic>
              </wp:inline>
            </w:drawing>
          </w:r>
        </w:p>
      </w:tc>
      <w:tc>
        <w:tcPr>
          <w:tcW w:type="dxa" w:w="6624"/>
        </w:tcPr>
        <w:p>
          <w:pPr>
            <w:jc w:val="center"/>
          </w:pPr>
          <w:r>
            <w:rPr>
              <w:rFonts w:ascii="Aptos Display" w:hAnsi="Aptos Display"/>
              <w:b/>
              <w:color w:val="071A2C"/>
              <w:sz w:val="18"/>
            </w:rPr>
            <w:t>LUMEN Rewards | ReNaSer &amp; OMTAC</w:t>
          </w:r>
        </w:p>
      </w:tc>
      <w:tc>
        <w:tcPr>
          <w:tcW w:type="dxa" w:w="1872"/>
        </w:tcPr>
        <w:p>
          <w:pPr>
            <w:jc w:val="right"/>
          </w:pPr>
          <w:r>
            <w:drawing>
              <wp:inline xmlns:a="http://schemas.openxmlformats.org/drawingml/2006/main" xmlns:pic="http://schemas.openxmlformats.org/drawingml/2006/picture">
                <wp:extent cx="594360" cy="594360"/>
                <wp:docPr id="2" name="Picture 2"/>
                <wp:cNvGraphicFramePr>
                  <a:graphicFrameLocks noChangeAspect="1"/>
                </wp:cNvGraphicFramePr>
                <a:graphic>
                  <a:graphicData uri="http://schemas.openxmlformats.org/drawingml/2006/picture">
                    <pic:pic>
                      <pic:nvPicPr>
                        <pic:cNvPr id="0" name="omtac perfil.jpg"/>
                        <pic:cNvPicPr/>
                      </pic:nvPicPr>
                      <pic:blipFill>
                        <a:blip r:embed="rId2"/>
                        <a:stretch>
                          <a:fillRect/>
                        </a:stretch>
                      </pic:blipFill>
                      <pic:spPr>
                        <a:xfrm>
                          <a:off x="0" y="0"/>
                          <a:ext cx="594360" cy="594360"/>
                        </a:xfrm>
                        <a:prstGeom prst="rect"/>
                      </pic:spPr>
                    </pic:pic>
                  </a:graphicData>
                </a:graphic>
              </wp:inline>
            </w:drawing>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00"/>
      <w:outlineLvl w:val="0"/>
    </w:pPr>
    <w:rPr>
      <w:rFonts w:asciiTheme="majorHAnsi" w:eastAsiaTheme="majorEastAsia" w:hAnsiTheme="majorHAnsi" w:cstheme="majorBidi" w:ascii="Aptos Display" w:hAnsi="Aptos Display"/>
      <w:b/>
      <w:bCs/>
      <w:color w:val="071A2C"/>
      <w:sz w:val="32"/>
      <w:szCs w:val="28"/>
    </w:rPr>
  </w:style>
  <w:style w:type="paragraph" w:styleId="Heading2">
    <w:name w:val="heading 2"/>
    <w:basedOn w:val="Normal"/>
    <w:next w:val="Normal"/>
    <w:link w:val="Heading2Char"/>
    <w:uiPriority w:val="9"/>
    <w:unhideWhenUsed/>
    <w:qFormat/>
    <w:rsid w:val="00FC693F"/>
    <w:pPr>
      <w:keepNext/>
      <w:keepLines/>
      <w:spacing w:before="200" w:after="100"/>
      <w:outlineLvl w:val="1"/>
    </w:pPr>
    <w:rPr>
      <w:rFonts w:asciiTheme="majorHAnsi" w:eastAsiaTheme="majorEastAsia" w:hAnsiTheme="majorHAnsi" w:cstheme="majorBidi" w:ascii="Aptos Display" w:hAnsi="Aptos Display"/>
      <w:b/>
      <w:bCs/>
      <w:color w:val="071A2C"/>
      <w:sz w:val="26"/>
      <w:szCs w:val="26"/>
    </w:rPr>
  </w:style>
  <w:style w:type="paragraph" w:styleId="Heading3">
    <w:name w:val="heading 3"/>
    <w:basedOn w:val="Normal"/>
    <w:next w:val="Normal"/>
    <w:link w:val="Heading3Char"/>
    <w:uiPriority w:val="9"/>
    <w:unhideWhenUsed/>
    <w:qFormat/>
    <w:rsid w:val="00FC693F"/>
    <w:pPr>
      <w:keepNext/>
      <w:keepLines/>
      <w:spacing w:before="200" w:after="100"/>
      <w:outlineLvl w:val="2"/>
    </w:pPr>
    <w:rPr>
      <w:rFonts w:asciiTheme="majorHAnsi" w:eastAsiaTheme="majorEastAsia" w:hAnsiTheme="majorHAnsi" w:cstheme="majorBidi" w:ascii="Aptos Display" w:hAnsi="Aptos Display"/>
      <w:b/>
      <w:bCs/>
      <w:color w:val="C79C3A"/>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Acuerdo de Adhesión al Sistema LUMEN Rewards</dc:title>
  <dc:subject>Sistema interno de recompensas y beneficios</dc:subject>
  <dc:creator>ReNaSer &amp; OMTAC</dc:creator>
  <cp:keywords/>
  <dc:description>Documento base operativo no financiero.</dc:description>
  <cp:lastModifiedBy/>
  <cp:revision>1</cp:revision>
  <dcterms:created xsi:type="dcterms:W3CDTF">2013-12-23T23:15:00Z</dcterms:created>
  <dcterms:modified xsi:type="dcterms:W3CDTF">2013-12-23T23:15:00Z</dcterms:modified>
  <cp:category/>
</cp:coreProperties>
</file>